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color w:val="auto"/>
          <w:kern w:val="2"/>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color w:val="auto"/>
          <w:kern w:val="2"/>
          <w:sz w:val="44"/>
          <w:szCs w:val="44"/>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36"/>
          <w:szCs w:val="36"/>
        </w:rPr>
      </w:pPr>
      <w:r>
        <w:rPr>
          <w:rFonts w:hint="eastAsia" w:ascii="仿宋" w:hAnsi="仿宋" w:eastAsia="仿宋" w:cs="仿宋"/>
          <w:sz w:val="36"/>
          <w:szCs w:val="36"/>
        </w:rPr>
        <w:t>清</w:t>
      </w:r>
      <w:r>
        <w:rPr>
          <w:rFonts w:hint="eastAsia" w:ascii="仿宋" w:hAnsi="仿宋" w:eastAsia="仿宋" w:cs="仿宋"/>
          <w:sz w:val="36"/>
          <w:szCs w:val="36"/>
          <w:lang w:eastAsia="zh-CN"/>
        </w:rPr>
        <w:t>高审批</w:t>
      </w:r>
      <w:r>
        <w:rPr>
          <w:rFonts w:hint="eastAsia" w:ascii="仿宋" w:hAnsi="仿宋" w:eastAsia="仿宋" w:cs="仿宋"/>
          <w:sz w:val="36"/>
          <w:szCs w:val="36"/>
        </w:rPr>
        <w:t>环〔201</w:t>
      </w:r>
      <w:r>
        <w:rPr>
          <w:rFonts w:hint="eastAsia" w:ascii="仿宋" w:hAnsi="仿宋" w:eastAsia="仿宋" w:cs="仿宋"/>
          <w:sz w:val="36"/>
          <w:szCs w:val="36"/>
          <w:lang w:val="en-US" w:eastAsia="zh-CN"/>
        </w:rPr>
        <w:t>9</w:t>
      </w:r>
      <w:r>
        <w:rPr>
          <w:rFonts w:hint="eastAsia" w:ascii="仿宋" w:hAnsi="仿宋" w:eastAsia="仿宋" w:cs="仿宋"/>
          <w:sz w:val="36"/>
          <w:szCs w:val="36"/>
        </w:rPr>
        <w:t>〕</w:t>
      </w:r>
      <w:r>
        <w:rPr>
          <w:rFonts w:hint="eastAsia" w:ascii="仿宋" w:hAnsi="仿宋" w:eastAsia="仿宋" w:cs="仿宋"/>
          <w:sz w:val="36"/>
          <w:szCs w:val="36"/>
          <w:lang w:val="en-US" w:eastAsia="zh-CN"/>
        </w:rPr>
        <w:t>5</w:t>
      </w:r>
      <w:r>
        <w:rPr>
          <w:rFonts w:hint="eastAsia" w:ascii="仿宋" w:hAnsi="仿宋" w:eastAsia="仿宋" w:cs="仿宋"/>
          <w:sz w:val="36"/>
          <w:szCs w:val="36"/>
        </w:rPr>
        <w:t>号</w:t>
      </w:r>
    </w:p>
    <w:p>
      <w:pPr>
        <w:pStyle w:val="2"/>
        <w:rPr>
          <w:rFonts w:hint="eastAsia" w:ascii="仿宋" w:hAnsi="仿宋" w:eastAsia="仿宋" w:cs="仿宋"/>
          <w:sz w:val="36"/>
          <w:szCs w:val="36"/>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color w:val="auto"/>
          <w:kern w:val="2"/>
          <w:sz w:val="44"/>
          <w:szCs w:val="44"/>
          <w:lang w:val="en-US" w:eastAsia="zh-CN"/>
        </w:rPr>
      </w:pPr>
      <w:r>
        <w:rPr>
          <w:rFonts w:hint="eastAsia" w:ascii="方正小标宋_GBK" w:hAnsi="方正小标宋_GBK" w:eastAsia="方正小标宋_GBK" w:cs="方正小标宋_GBK"/>
          <w:color w:val="auto"/>
          <w:kern w:val="2"/>
          <w:sz w:val="44"/>
          <w:szCs w:val="44"/>
          <w:lang w:val="en-US" w:eastAsia="zh-CN"/>
        </w:rPr>
        <w:t>关于《</w:t>
      </w:r>
      <w:bookmarkStart w:id="0" w:name="_Hlk14076335"/>
      <w:r>
        <w:rPr>
          <w:rFonts w:hint="eastAsia" w:ascii="方正小标宋_GBK" w:hAnsi="方正小标宋_GBK" w:eastAsia="方正小标宋_GBK" w:cs="方正小标宋_GBK"/>
          <w:color w:val="auto"/>
          <w:kern w:val="2"/>
          <w:sz w:val="44"/>
          <w:szCs w:val="44"/>
          <w:lang w:val="en-US" w:eastAsia="zh-CN"/>
        </w:rPr>
        <w:t>清远先导材料有限公司调整钴系列产品生产方案年产2000吨硫酸钴、综合利用三甲基镓等产品（M</w:t>
      </w:r>
      <w:bookmarkStart w:id="1" w:name="_GoBack"/>
      <w:bookmarkEnd w:id="1"/>
      <w:r>
        <w:rPr>
          <w:rFonts w:hint="eastAsia" w:ascii="方正小标宋_GBK" w:hAnsi="方正小标宋_GBK" w:eastAsia="方正小标宋_GBK" w:cs="方正小标宋_GBK"/>
          <w:color w:val="auto"/>
          <w:kern w:val="2"/>
          <w:sz w:val="44"/>
          <w:szCs w:val="44"/>
          <w:lang w:val="en-US" w:eastAsia="zh-CN"/>
        </w:rPr>
        <w:t>O源）废液年产60吨碘甲烷技改项目</w:t>
      </w:r>
      <w:bookmarkEnd w:id="0"/>
      <w:r>
        <w:rPr>
          <w:rFonts w:hint="eastAsia" w:ascii="方正小标宋_GBK" w:hAnsi="方正小标宋_GBK" w:eastAsia="方正小标宋_GBK" w:cs="方正小标宋_GBK"/>
          <w:color w:val="auto"/>
          <w:kern w:val="2"/>
          <w:sz w:val="44"/>
          <w:szCs w:val="44"/>
          <w:lang w:val="en-US" w:eastAsia="zh-CN"/>
        </w:rPr>
        <w:t>环境影响报告书》的批复</w:t>
      </w:r>
    </w:p>
    <w:p>
      <w:pPr>
        <w:rPr>
          <w:rFonts w:hint="eastAsia" w:ascii="仿宋_GB2312" w:hAnsi="仿宋_GB2312" w:eastAsia="仿宋_GB2312" w:cs="仿宋_GB2312"/>
          <w:color w:val="auto"/>
          <w:kern w:val="2"/>
          <w:sz w:val="32"/>
          <w:szCs w:val="32"/>
          <w:lang w:val="en-US" w:eastAsia="zh-CN"/>
        </w:rPr>
      </w:pPr>
    </w:p>
    <w:p>
      <w:pPr>
        <w:keepNext w:val="0"/>
        <w:keepLines w:val="0"/>
        <w:pageBreakBefore w:val="0"/>
        <w:widowControl w:val="0"/>
        <w:kinsoku/>
        <w:wordWrap/>
        <w:overflowPunct/>
        <w:topLinePunct w:val="0"/>
        <w:bidi w:val="0"/>
        <w:spacing w:line="560" w:lineRule="exact"/>
        <w:textAlignment w:val="auto"/>
        <w:rPr>
          <w:rFonts w:hint="eastAsia" w:ascii="仿宋_GB2312" w:eastAsia="仿宋_GB2312"/>
          <w:sz w:val="32"/>
          <w:szCs w:val="36"/>
        </w:rPr>
      </w:pPr>
      <w:r>
        <w:rPr>
          <w:rFonts w:hint="eastAsia" w:ascii="仿宋_GB2312" w:eastAsia="仿宋_GB2312"/>
          <w:sz w:val="32"/>
          <w:szCs w:val="36"/>
        </w:rPr>
        <w:t>清远先导材料有限公司：</w:t>
      </w:r>
    </w:p>
    <w:p>
      <w:pPr>
        <w:keepNext w:val="0"/>
        <w:keepLines w:val="0"/>
        <w:pageBreakBefore w:val="0"/>
        <w:widowControl w:val="0"/>
        <w:kinsoku/>
        <w:wordWrap/>
        <w:overflowPunct/>
        <w:topLinePunct w:val="0"/>
        <w:bidi w:val="0"/>
        <w:spacing w:line="560" w:lineRule="exact"/>
        <w:ind w:firstLine="640" w:firstLineChars="200"/>
        <w:textAlignment w:val="auto"/>
        <w:rPr>
          <w:rFonts w:hint="eastAsia" w:ascii="仿宋_GB2312" w:eastAsia="仿宋_GB2312"/>
          <w:sz w:val="32"/>
          <w:szCs w:val="36"/>
        </w:rPr>
      </w:pPr>
      <w:r>
        <w:rPr>
          <w:rFonts w:hint="eastAsia" w:ascii="仿宋_GB2312" w:eastAsia="仿宋_GB2312"/>
          <w:sz w:val="32"/>
          <w:szCs w:val="36"/>
        </w:rPr>
        <w:t>你公司报批的《清远先导材料有限公司调整钴系列产品生产方案年产</w:t>
      </w:r>
      <w:r>
        <w:rPr>
          <w:rFonts w:ascii="仿宋_GB2312" w:eastAsia="仿宋_GB2312"/>
          <w:sz w:val="32"/>
          <w:szCs w:val="36"/>
        </w:rPr>
        <w:t>2000吨硫酸钴、综合利用三甲基镓等产品（MO源）废液年产60吨碘甲烷技改项目</w:t>
      </w:r>
      <w:r>
        <w:rPr>
          <w:rFonts w:hint="eastAsia" w:ascii="仿宋_GB2312" w:eastAsia="仿宋_GB2312"/>
          <w:sz w:val="32"/>
          <w:szCs w:val="36"/>
        </w:rPr>
        <w:t>环境影响报告书（以下简称“报告书”）及有关材料收悉。经研究，批复如下：</w:t>
      </w:r>
    </w:p>
    <w:p>
      <w:pPr>
        <w:pStyle w:val="3"/>
        <w:keepNext w:val="0"/>
        <w:keepLines w:val="0"/>
        <w:pageBreakBefore w:val="0"/>
        <w:widowControl w:val="0"/>
        <w:kinsoku/>
        <w:wordWrap/>
        <w:overflowPunct/>
        <w:topLinePunct w:val="0"/>
        <w:bidi w:val="0"/>
        <w:snapToGrid w:val="0"/>
        <w:spacing w:line="560" w:lineRule="exact"/>
        <w:ind w:firstLine="640" w:firstLineChars="200"/>
        <w:textAlignment w:val="auto"/>
        <w:rPr>
          <w:rFonts w:hint="eastAsia" w:ascii="仿宋_GB2312" w:eastAsia="仿宋_GB2312" w:hAnsiTheme="minorHAnsi" w:cstheme="minorBidi"/>
          <w:kern w:val="2"/>
          <w:sz w:val="32"/>
          <w:szCs w:val="36"/>
          <w:lang w:val="en-US" w:eastAsia="zh-CN" w:bidi="ar-SA"/>
        </w:rPr>
      </w:pPr>
      <w:r>
        <w:rPr>
          <w:rFonts w:hint="eastAsia" w:ascii="仿宋_GB2312" w:eastAsia="仿宋_GB2312" w:hAnsiTheme="minorHAnsi" w:cstheme="minorBidi"/>
          <w:kern w:val="2"/>
          <w:sz w:val="32"/>
          <w:szCs w:val="36"/>
          <w:lang w:val="en-US" w:eastAsia="zh-CN" w:bidi="ar-SA"/>
        </w:rPr>
        <w:t>一、清远先导材料有限公司原名广东先导稀有材料有限公司，2011年4月25日更为现名。公司位于广东清远经济开发区百嘉工业园精细化工定点基地，是广东先导稀材股份有限公司的全资子公司。该公司《广东先导稀有材料有限公司稀有材料研发和生产基地项目环境影响报告书》于2010年12月15日取得了环评批复（清环【2010】431号）。基地项目一期工程的建设内容包括高纯砷、三甲基镓、高纯镓、碲化镉、硒化锌的生产，年产量分别为60t、80t、60t、200t、150t，于2015年12月21日通过清远市环境保护局的竣工环境保护验收（清环验【2015】107号）。</w:t>
      </w:r>
    </w:p>
    <w:p>
      <w:pPr>
        <w:pStyle w:val="3"/>
        <w:keepNext w:val="0"/>
        <w:keepLines w:val="0"/>
        <w:pageBreakBefore w:val="0"/>
        <w:widowControl w:val="0"/>
        <w:kinsoku/>
        <w:wordWrap/>
        <w:overflowPunct/>
        <w:topLinePunct w:val="0"/>
        <w:bidi w:val="0"/>
        <w:snapToGrid w:val="0"/>
        <w:spacing w:line="560" w:lineRule="exact"/>
        <w:ind w:firstLine="640" w:firstLineChars="200"/>
        <w:textAlignment w:val="auto"/>
        <w:rPr>
          <w:rFonts w:hint="eastAsia" w:ascii="仿宋_GB2312" w:eastAsia="仿宋_GB2312" w:hAnsiTheme="minorHAnsi" w:cstheme="minorBidi"/>
          <w:kern w:val="2"/>
          <w:sz w:val="32"/>
          <w:szCs w:val="36"/>
          <w:lang w:val="en-US" w:eastAsia="zh-CN" w:bidi="ar-SA"/>
        </w:rPr>
      </w:pPr>
      <w:r>
        <w:rPr>
          <w:rFonts w:hint="eastAsia" w:ascii="仿宋_GB2312" w:eastAsia="仿宋_GB2312" w:hAnsiTheme="minorHAnsi" w:cstheme="minorBidi"/>
          <w:kern w:val="2"/>
          <w:sz w:val="32"/>
          <w:szCs w:val="36"/>
          <w:lang w:val="en-US" w:eastAsia="zh-CN" w:bidi="ar-SA"/>
        </w:rPr>
        <w:t>基地项目原钴系列产品是以氢氧化钴为原料，经硫酸浸出得到硫酸钴，再以硫酸钴为原料生产碳酸钴505t/a、四氧化三钴340t/a、钴粉250t/a、钴酸锂415t/a（按钴元素量计算含钴量均为250t）。</w:t>
      </w:r>
    </w:p>
    <w:p>
      <w:pPr>
        <w:pStyle w:val="3"/>
        <w:keepNext w:val="0"/>
        <w:keepLines w:val="0"/>
        <w:pageBreakBefore w:val="0"/>
        <w:widowControl w:val="0"/>
        <w:kinsoku/>
        <w:wordWrap/>
        <w:overflowPunct/>
        <w:topLinePunct w:val="0"/>
        <w:bidi w:val="0"/>
        <w:snapToGrid w:val="0"/>
        <w:spacing w:line="560" w:lineRule="exact"/>
        <w:ind w:firstLine="640" w:firstLineChars="200"/>
        <w:textAlignment w:val="auto"/>
        <w:rPr>
          <w:rFonts w:hint="eastAsia" w:ascii="仿宋_GB2312" w:eastAsia="仿宋_GB2312" w:hAnsiTheme="minorHAnsi" w:cstheme="minorBidi"/>
          <w:kern w:val="2"/>
          <w:sz w:val="32"/>
          <w:szCs w:val="36"/>
          <w:lang w:val="en-US" w:eastAsia="zh-CN" w:bidi="ar-SA"/>
        </w:rPr>
      </w:pPr>
      <w:r>
        <w:rPr>
          <w:rFonts w:hint="eastAsia" w:ascii="仿宋_GB2312" w:eastAsia="仿宋_GB2312" w:hAnsiTheme="minorHAnsi" w:cstheme="minorBidi"/>
          <w:kern w:val="2"/>
          <w:sz w:val="32"/>
          <w:szCs w:val="36"/>
          <w:lang w:val="en-US" w:eastAsia="zh-CN" w:bidi="ar-SA"/>
        </w:rPr>
        <w:t>本次技改项目，拟调整钴系列产品生产方案，在不改变原料钴元素含量1000t的基础上，拿出部分硫酸钴（钴元素含量420t）溶液，生产2000吨七水硫酸钴。同时，碳酸钴产量降到293 t/a、四氧化三钴降到197 t/a、钴粉降到145 t/a、钴酸锂降到241t/a（按钴元素量计算含钴量均为145t）。</w:t>
      </w:r>
    </w:p>
    <w:p>
      <w:pPr>
        <w:pStyle w:val="3"/>
        <w:keepNext w:val="0"/>
        <w:keepLines w:val="0"/>
        <w:pageBreakBefore w:val="0"/>
        <w:widowControl w:val="0"/>
        <w:kinsoku/>
        <w:wordWrap/>
        <w:overflowPunct/>
        <w:topLinePunct w:val="0"/>
        <w:bidi w:val="0"/>
        <w:snapToGrid w:val="0"/>
        <w:spacing w:line="560" w:lineRule="exact"/>
        <w:ind w:firstLine="640" w:firstLineChars="200"/>
        <w:textAlignment w:val="auto"/>
        <w:rPr>
          <w:rFonts w:hint="eastAsia" w:ascii="仿宋_GB2312" w:eastAsia="仿宋_GB2312" w:hAnsiTheme="minorHAnsi" w:cstheme="minorBidi"/>
          <w:kern w:val="2"/>
          <w:sz w:val="32"/>
          <w:szCs w:val="36"/>
          <w:lang w:val="en-US" w:eastAsia="zh-CN" w:bidi="ar-SA"/>
        </w:rPr>
      </w:pPr>
      <w:r>
        <w:rPr>
          <w:rFonts w:hint="eastAsia" w:ascii="仿宋_GB2312" w:eastAsia="仿宋_GB2312" w:hAnsiTheme="minorHAnsi" w:cstheme="minorBidi"/>
          <w:kern w:val="2"/>
          <w:sz w:val="32"/>
          <w:szCs w:val="36"/>
          <w:lang w:val="en-US" w:eastAsia="zh-CN" w:bidi="ar-SA"/>
        </w:rPr>
        <w:t>基地项目三甲基镓和年产482吨光电子材料生产线项目中的三乙基镓、三甲基铟产生的废液（含碘母液），原方案为交由外单位回收。本次技改项目，拟回收利用含碘母液的碘，并将其与甲醇等物料反应生成碘甲烷。</w:t>
      </w:r>
    </w:p>
    <w:p>
      <w:pPr>
        <w:pStyle w:val="3"/>
        <w:keepNext w:val="0"/>
        <w:keepLines w:val="0"/>
        <w:pageBreakBefore w:val="0"/>
        <w:widowControl w:val="0"/>
        <w:kinsoku/>
        <w:wordWrap/>
        <w:overflowPunct/>
        <w:topLinePunct w:val="0"/>
        <w:bidi w:val="0"/>
        <w:snapToGrid w:val="0"/>
        <w:spacing w:line="560" w:lineRule="exact"/>
        <w:ind w:firstLine="640" w:firstLineChars="200"/>
        <w:textAlignment w:val="auto"/>
        <w:rPr>
          <w:rFonts w:hint="eastAsia" w:ascii="Times New Roman" w:hAnsi="Times New Roman" w:eastAsia="仿宋_GB2312" w:cs="Times New Roman"/>
          <w:sz w:val="28"/>
          <w:szCs w:val="28"/>
        </w:rPr>
      </w:pPr>
      <w:r>
        <w:rPr>
          <w:rFonts w:hint="eastAsia" w:ascii="仿宋_GB2312" w:eastAsia="仿宋_GB2312" w:hAnsiTheme="minorHAnsi" w:cstheme="minorBidi"/>
          <w:kern w:val="2"/>
          <w:sz w:val="32"/>
          <w:szCs w:val="36"/>
          <w:lang w:val="en-US" w:eastAsia="zh-CN" w:bidi="ar-SA"/>
        </w:rPr>
        <w:t>本次技改项目拟投资5000万元，其中碘甲烷生产线布置在LED车间的空置厂房，硫酸钴生产线布置在J车间的空置厂房。</w:t>
      </w:r>
    </w:p>
    <w:p>
      <w:pPr>
        <w:keepNext w:val="0"/>
        <w:keepLines w:val="0"/>
        <w:pageBreakBefore w:val="0"/>
        <w:widowControl w:val="0"/>
        <w:kinsoku/>
        <w:wordWrap/>
        <w:overflowPunct/>
        <w:topLinePunct w:val="0"/>
        <w:bidi w:val="0"/>
        <w:spacing w:line="560" w:lineRule="exact"/>
        <w:ind w:firstLine="640" w:firstLineChars="200"/>
        <w:textAlignment w:val="auto"/>
        <w:rPr>
          <w:rFonts w:hint="eastAsia" w:ascii="仿宋_GB2312" w:eastAsia="仿宋_GB2312"/>
          <w:sz w:val="32"/>
          <w:szCs w:val="36"/>
        </w:rPr>
      </w:pPr>
      <w:r>
        <w:rPr>
          <w:rFonts w:hint="eastAsia" w:ascii="仿宋_GB2312" w:eastAsia="仿宋_GB2312"/>
          <w:sz w:val="32"/>
          <w:szCs w:val="36"/>
        </w:rPr>
        <w:t>二、专家组对报告书的技术评审意见认为，报告书内容较全面，确定的评价工作等级、评价范围和评价标准合适。环境现状调查基本符合实际，环评的技术路线和方法符合环评技术导则的要求，提出的环保措施基本可行，评价结论基本可信。</w:t>
      </w:r>
    </w:p>
    <w:p>
      <w:pPr>
        <w:keepNext w:val="0"/>
        <w:keepLines w:val="0"/>
        <w:pageBreakBefore w:val="0"/>
        <w:widowControl w:val="0"/>
        <w:kinsoku/>
        <w:wordWrap/>
        <w:overflowPunct/>
        <w:topLinePunct w:val="0"/>
        <w:bidi w:val="0"/>
        <w:spacing w:line="560" w:lineRule="exact"/>
        <w:ind w:firstLine="640" w:firstLineChars="200"/>
        <w:textAlignment w:val="auto"/>
        <w:rPr>
          <w:rFonts w:hint="eastAsia" w:ascii="仿宋_GB2312" w:eastAsia="仿宋_GB2312"/>
          <w:sz w:val="32"/>
          <w:szCs w:val="36"/>
        </w:rPr>
      </w:pPr>
      <w:r>
        <w:rPr>
          <w:rFonts w:hint="eastAsia" w:ascii="仿宋_GB2312" w:eastAsia="仿宋_GB2312"/>
          <w:sz w:val="32"/>
          <w:szCs w:val="36"/>
        </w:rPr>
        <w:t>三、我局原则同意专家组对报告书的技术评审意见，在你公司全面落实报告书提出的各项污染防治措施的前提下，项目建设从环境保护角度可行。你公司应按照报告书内容组织实施。</w:t>
      </w:r>
    </w:p>
    <w:p>
      <w:pPr>
        <w:keepNext w:val="0"/>
        <w:keepLines w:val="0"/>
        <w:pageBreakBefore w:val="0"/>
        <w:widowControl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仿宋_GB2312" w:eastAsia="仿宋_GB2312"/>
          <w:sz w:val="32"/>
          <w:szCs w:val="36"/>
        </w:rPr>
      </w:pPr>
      <w:r>
        <w:rPr>
          <w:rFonts w:hint="eastAsia" w:ascii="仿宋_GB2312" w:eastAsia="仿宋_GB2312"/>
          <w:sz w:val="32"/>
          <w:szCs w:val="36"/>
        </w:rPr>
        <w:t>四、</w:t>
      </w:r>
      <w:r>
        <w:rPr>
          <w:rFonts w:hint="eastAsia" w:ascii="仿宋_GB2312" w:hAnsi="仿宋_GB2312" w:eastAsia="仿宋_GB2312" w:cs="仿宋_GB2312"/>
          <w:kern w:val="2"/>
          <w:sz w:val="32"/>
          <w:szCs w:val="32"/>
          <w:lang w:val="en-US" w:eastAsia="zh-CN" w:bidi="ar-SA"/>
        </w:rPr>
        <w:t>项目建成后，VOC</w:t>
      </w:r>
      <w:r>
        <w:rPr>
          <w:rFonts w:hint="eastAsia" w:ascii="仿宋_GB2312" w:hAnsi="仿宋_GB2312" w:eastAsia="仿宋_GB2312" w:cs="仿宋_GB2312"/>
          <w:kern w:val="2"/>
          <w:sz w:val="32"/>
          <w:szCs w:val="32"/>
          <w:vertAlign w:val="subscript"/>
          <w:lang w:val="en-US" w:eastAsia="zh-CN" w:bidi="ar-SA"/>
        </w:rPr>
        <w:t>S</w:t>
      </w:r>
      <w:r>
        <w:rPr>
          <w:rFonts w:hint="eastAsia" w:ascii="仿宋_GB2312" w:hAnsi="仿宋_GB2312" w:eastAsia="仿宋_GB2312" w:cs="仿宋_GB2312"/>
          <w:kern w:val="2"/>
          <w:sz w:val="32"/>
          <w:szCs w:val="32"/>
          <w:lang w:val="en-US" w:eastAsia="zh-CN" w:bidi="ar-SA"/>
        </w:rPr>
        <w:t>排放量为0.310t/a，符合《关于清远市清城区涉及VOC</w:t>
      </w:r>
      <w:r>
        <w:rPr>
          <w:rFonts w:hint="eastAsia" w:ascii="仿宋_GB2312" w:hAnsi="仿宋_GB2312" w:eastAsia="仿宋_GB2312" w:cs="仿宋_GB2312"/>
          <w:kern w:val="2"/>
          <w:sz w:val="32"/>
          <w:szCs w:val="32"/>
          <w:vertAlign w:val="subscript"/>
          <w:lang w:val="en-US" w:eastAsia="zh-CN" w:bidi="ar-SA"/>
        </w:rPr>
        <w:t>S</w:t>
      </w:r>
      <w:r>
        <w:rPr>
          <w:rFonts w:hint="eastAsia" w:ascii="仿宋_GB2312" w:hAnsi="仿宋_GB2312" w:eastAsia="仿宋_GB2312" w:cs="仿宋_GB2312"/>
          <w:kern w:val="2"/>
          <w:sz w:val="32"/>
          <w:szCs w:val="32"/>
          <w:lang w:val="en-US" w:eastAsia="zh-CN" w:bidi="ar-SA"/>
        </w:rPr>
        <w:t>排放项目（第七批）总量控制指标的函》（清城环总量函</w:t>
      </w:r>
      <w:r>
        <w:rPr>
          <w:rFonts w:hint="eastAsia" w:ascii="仿宋" w:hAnsi="仿宋" w:eastAsia="仿宋" w:cs="仿宋"/>
          <w:kern w:val="2"/>
          <w:sz w:val="32"/>
          <w:szCs w:val="32"/>
          <w:lang w:val="en-US" w:eastAsia="zh-CN" w:bidi="ar-SA"/>
        </w:rPr>
        <w:t>〔2019〕37号</w:t>
      </w:r>
      <w:r>
        <w:rPr>
          <w:rFonts w:hint="eastAsia" w:ascii="仿宋_GB2312" w:hAnsi="仿宋_GB2312" w:eastAsia="仿宋_GB2312" w:cs="仿宋_GB2312"/>
          <w:kern w:val="2"/>
          <w:sz w:val="32"/>
          <w:szCs w:val="32"/>
          <w:lang w:val="en-US" w:eastAsia="zh-CN" w:bidi="ar-SA"/>
        </w:rPr>
        <w:t>）的要求。</w:t>
      </w:r>
    </w:p>
    <w:p>
      <w:pPr>
        <w:keepNext w:val="0"/>
        <w:keepLines w:val="0"/>
        <w:pageBreakBefore w:val="0"/>
        <w:widowControl w:val="0"/>
        <w:kinsoku/>
        <w:wordWrap/>
        <w:overflowPunct/>
        <w:topLinePunct w:val="0"/>
        <w:bidi w:val="0"/>
        <w:spacing w:line="560" w:lineRule="exact"/>
        <w:ind w:firstLine="640" w:firstLineChars="200"/>
        <w:textAlignment w:val="auto"/>
        <w:rPr>
          <w:rFonts w:hint="eastAsia" w:ascii="仿宋_GB2312" w:eastAsia="仿宋_GB2312"/>
          <w:sz w:val="32"/>
          <w:szCs w:val="36"/>
        </w:rPr>
      </w:pPr>
      <w:r>
        <w:rPr>
          <w:rFonts w:hint="eastAsia" w:ascii="仿宋_GB2312" w:eastAsia="仿宋_GB2312"/>
          <w:sz w:val="32"/>
          <w:szCs w:val="36"/>
          <w:lang w:eastAsia="zh-CN"/>
        </w:rPr>
        <w:t>五、</w:t>
      </w:r>
      <w:r>
        <w:rPr>
          <w:rFonts w:hint="eastAsia" w:ascii="仿宋_GB2312" w:eastAsia="仿宋_GB2312"/>
          <w:sz w:val="32"/>
          <w:szCs w:val="36"/>
        </w:rPr>
        <w:t>建设项目的环境影响评价文件经批准后，建设</w:t>
      </w:r>
      <w:r>
        <w:rPr>
          <w:rFonts w:hint="eastAsia" w:ascii="仿宋_GB2312" w:hAnsi="微软雅黑" w:eastAsia="仿宋_GB2312" w:cs="微软雅黑"/>
          <w:sz w:val="32"/>
          <w:szCs w:val="36"/>
        </w:rPr>
        <w:t>项</w:t>
      </w:r>
      <w:r>
        <w:rPr>
          <w:rFonts w:hint="eastAsia" w:ascii="仿宋_GB2312" w:eastAsia="仿宋_GB2312"/>
          <w:sz w:val="32"/>
          <w:szCs w:val="36"/>
        </w:rPr>
        <w:t>目的性质、规模、地点、采用的生产工艺或者防治污染、防止生态破坏的措施发生重大变动的，建设单位应当重新报批建设项目的环境影响评价文件。</w:t>
      </w:r>
    </w:p>
    <w:p>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outlineLvl w:val="9"/>
        <w:rPr>
          <w:rFonts w:hint="eastAsia" w:ascii="仿宋_GB2312" w:eastAsia="仿宋_GB2312"/>
          <w:sz w:val="32"/>
          <w:szCs w:val="36"/>
        </w:rPr>
      </w:pPr>
      <w:r>
        <w:rPr>
          <w:rFonts w:hint="eastAsia" w:ascii="仿宋_GB2312" w:eastAsia="仿宋_GB2312"/>
          <w:sz w:val="32"/>
          <w:szCs w:val="36"/>
          <w:lang w:eastAsia="zh-CN"/>
        </w:rPr>
        <w:t>六</w:t>
      </w:r>
      <w:r>
        <w:rPr>
          <w:rFonts w:hint="eastAsia" w:ascii="仿宋_GB2312" w:eastAsia="仿宋_GB2312"/>
          <w:sz w:val="32"/>
          <w:szCs w:val="36"/>
        </w:rPr>
        <w:t>、项目须按规定及时开展项目环境保护设施竣工验收。</w:t>
      </w:r>
    </w:p>
    <w:p>
      <w:pPr>
        <w:pStyle w:val="2"/>
        <w:keepNext w:val="0"/>
        <w:keepLines w:val="0"/>
        <w:pageBreakBefore w:val="0"/>
        <w:widowControl w:val="0"/>
        <w:kinsoku/>
        <w:wordWrap/>
        <w:overflowPunct/>
        <w:topLinePunct w:val="0"/>
        <w:bidi w:val="0"/>
        <w:spacing w:line="560" w:lineRule="exact"/>
        <w:textAlignment w:val="auto"/>
        <w:rPr>
          <w:rFonts w:hint="eastAsia" w:ascii="仿宋_GB2312" w:eastAsia="仿宋_GB2312"/>
          <w:sz w:val="32"/>
          <w:szCs w:val="36"/>
        </w:rPr>
      </w:pPr>
    </w:p>
    <w:p>
      <w:pPr>
        <w:pStyle w:val="2"/>
        <w:keepNext w:val="0"/>
        <w:keepLines w:val="0"/>
        <w:pageBreakBefore w:val="0"/>
        <w:widowControl w:val="0"/>
        <w:kinsoku/>
        <w:wordWrap/>
        <w:overflowPunct/>
        <w:topLinePunct w:val="0"/>
        <w:bidi w:val="0"/>
        <w:spacing w:line="560" w:lineRule="exact"/>
        <w:textAlignment w:val="auto"/>
        <w:rPr>
          <w:rFonts w:hint="eastAsia" w:ascii="仿宋_GB2312" w:eastAsia="仿宋_GB2312"/>
          <w:sz w:val="32"/>
          <w:szCs w:val="36"/>
        </w:rPr>
      </w:pPr>
    </w:p>
    <w:p>
      <w:pPr>
        <w:pStyle w:val="2"/>
        <w:keepNext w:val="0"/>
        <w:keepLines w:val="0"/>
        <w:pageBreakBefore w:val="0"/>
        <w:widowControl w:val="0"/>
        <w:kinsoku/>
        <w:wordWrap/>
        <w:overflowPunct/>
        <w:topLinePunct w:val="0"/>
        <w:bidi w:val="0"/>
        <w:spacing w:line="560" w:lineRule="exact"/>
        <w:textAlignment w:val="auto"/>
        <w:rPr>
          <w:rFonts w:hint="eastAsia" w:ascii="仿宋_GB2312" w:eastAsia="仿宋_GB2312"/>
          <w:sz w:val="32"/>
          <w:szCs w:val="36"/>
          <w:lang w:eastAsia="zh-CN"/>
        </w:rPr>
      </w:pPr>
    </w:p>
    <w:p>
      <w:pPr>
        <w:keepNext w:val="0"/>
        <w:keepLines w:val="0"/>
        <w:pageBreakBefore w:val="0"/>
        <w:widowControl w:val="0"/>
        <w:kinsoku/>
        <w:wordWrap/>
        <w:overflowPunct/>
        <w:topLinePunct w:val="0"/>
        <w:autoSpaceDE/>
        <w:autoSpaceDN/>
        <w:bidi w:val="0"/>
        <w:adjustRightInd/>
        <w:spacing w:line="560" w:lineRule="exact"/>
        <w:ind w:firstLine="1920" w:firstLineChars="600"/>
        <w:jc w:val="both"/>
        <w:textAlignment w:val="auto"/>
        <w:outlineLvl w:val="9"/>
        <w:rPr>
          <w:rFonts w:hint="eastAsia" w:ascii="仿宋_GB2312" w:hAnsi="仿宋_GB2312" w:eastAsia="仿宋_GB2312" w:cs="仿宋_GB2312"/>
          <w:color w:val="auto"/>
          <w:spacing w:val="6"/>
          <w:kern w:val="0"/>
          <w:sz w:val="32"/>
          <w:szCs w:val="32"/>
        </w:rPr>
      </w:pPr>
      <w:r>
        <w:rPr>
          <w:rFonts w:hint="eastAsia" w:ascii="仿宋_GB2312" w:hAnsi="仿宋_GB2312" w:eastAsia="仿宋_GB2312" w:cs="仿宋_GB2312"/>
          <w:b w:val="0"/>
          <w:bCs w:val="0"/>
          <w:color w:val="auto"/>
          <w:sz w:val="32"/>
          <w:szCs w:val="32"/>
          <w:lang w:eastAsia="zh-CN"/>
        </w:rPr>
        <w:t>广东清远高新技术产业开发区行政审批局</w:t>
      </w:r>
    </w:p>
    <w:tbl>
      <w:tblPr>
        <w:tblStyle w:val="6"/>
        <w:tblpPr w:leftFromText="180" w:rightFromText="180" w:vertAnchor="text" w:horzAnchor="page" w:tblpX="1540" w:tblpY="2330"/>
        <w:tblOverlap w:val="never"/>
        <w:tblW w:w="8958" w:type="dxa"/>
        <w:tblInd w:w="0" w:type="dxa"/>
        <w:tblBorders>
          <w:top w:val="none" w:color="auto" w:sz="0" w:space="0"/>
          <w:left w:val="none" w:color="auto" w:sz="0" w:space="0"/>
          <w:bottom w:val="single" w:color="auto" w:sz="8" w:space="0"/>
          <w:right w:val="none" w:color="auto" w:sz="0" w:space="0"/>
          <w:insideH w:val="single" w:color="auto" w:sz="8" w:space="0"/>
          <w:insideV w:val="none" w:color="auto" w:sz="0" w:space="0"/>
        </w:tblBorders>
        <w:tblLayout w:type="fixed"/>
        <w:tblCellMar>
          <w:top w:w="0" w:type="dxa"/>
          <w:left w:w="108" w:type="dxa"/>
          <w:bottom w:w="0" w:type="dxa"/>
          <w:right w:w="108" w:type="dxa"/>
        </w:tblCellMar>
      </w:tblPr>
      <w:tblGrid>
        <w:gridCol w:w="8958"/>
      </w:tblGrid>
      <w:tr>
        <w:tblPrEx>
          <w:tblBorders>
            <w:top w:val="none" w:color="auto" w:sz="0" w:space="0"/>
            <w:left w:val="none" w:color="auto" w:sz="0" w:space="0"/>
            <w:bottom w:val="single" w:color="auto" w:sz="8" w:space="0"/>
            <w:right w:val="none" w:color="auto" w:sz="0" w:space="0"/>
            <w:insideH w:val="single" w:color="auto" w:sz="8" w:space="0"/>
            <w:insideV w:val="none" w:color="auto" w:sz="0" w:space="0"/>
          </w:tblBorders>
          <w:tblLayout w:type="fixed"/>
          <w:tblCellMar>
            <w:top w:w="0" w:type="dxa"/>
            <w:left w:w="108" w:type="dxa"/>
            <w:bottom w:w="0" w:type="dxa"/>
            <w:right w:w="108" w:type="dxa"/>
          </w:tblCellMar>
        </w:tblPrEx>
        <w:trPr>
          <w:trHeight w:val="600" w:hRule="atLeast"/>
        </w:trPr>
        <w:tc>
          <w:tcPr>
            <w:tcW w:w="8958" w:type="dxa"/>
            <w:noWrap w:val="0"/>
            <w:vAlign w:val="top"/>
          </w:tcPr>
          <w:p>
            <w:pPr>
              <w:pStyle w:val="8"/>
              <w:keepNext w:val="0"/>
              <w:keepLines w:val="0"/>
              <w:pageBreakBefore w:val="0"/>
              <w:widowControl/>
              <w:kinsoku/>
              <w:wordWrap/>
              <w:overflowPunct/>
              <w:topLinePunct w:val="0"/>
              <w:autoSpaceDE/>
              <w:autoSpaceDN/>
              <w:bidi w:val="0"/>
              <w:adjustRightInd/>
              <w:snapToGrid/>
              <w:spacing w:line="560" w:lineRule="exact"/>
              <w:ind w:left="0" w:leftChars="0" w:right="0" w:rightChars="0"/>
              <w:jc w:val="left"/>
              <w:textAlignment w:val="auto"/>
              <w:outlineLvl w:val="9"/>
              <w:rPr>
                <w:rFonts w:hint="eastAsia" w:ascii="仿宋_GB2312" w:hAnsi="仿宋_GB2312" w:eastAsia="仿宋_GB2312" w:cs="仿宋_GB2312"/>
                <w:b w:val="0"/>
                <w:bCs w:val="0"/>
                <w:sz w:val="32"/>
                <w:szCs w:val="32"/>
              </w:rPr>
            </w:pPr>
          </w:p>
        </w:tc>
      </w:tr>
      <w:tr>
        <w:tblPrEx>
          <w:tblBorders>
            <w:top w:val="none" w:color="auto" w:sz="0" w:space="0"/>
            <w:left w:val="none" w:color="auto" w:sz="0" w:space="0"/>
            <w:bottom w:val="single" w:color="auto" w:sz="8" w:space="0"/>
            <w:right w:val="none" w:color="auto" w:sz="0" w:space="0"/>
            <w:insideH w:val="single" w:color="auto" w:sz="8" w:space="0"/>
            <w:insideV w:val="none" w:color="auto" w:sz="0" w:space="0"/>
          </w:tblBorders>
          <w:tblLayout w:type="fixed"/>
          <w:tblCellMar>
            <w:top w:w="0" w:type="dxa"/>
            <w:left w:w="108" w:type="dxa"/>
            <w:bottom w:w="0" w:type="dxa"/>
            <w:right w:w="108" w:type="dxa"/>
          </w:tblCellMar>
        </w:tblPrEx>
        <w:trPr>
          <w:trHeight w:val="555" w:hRule="atLeast"/>
        </w:trPr>
        <w:tc>
          <w:tcPr>
            <w:tcW w:w="8958" w:type="dxa"/>
            <w:noWrap w:val="0"/>
            <w:vAlign w:val="top"/>
          </w:tcPr>
          <w:p>
            <w:pPr>
              <w:pStyle w:val="8"/>
              <w:keepNext w:val="0"/>
              <w:keepLines w:val="0"/>
              <w:pageBreakBefore w:val="0"/>
              <w:kinsoku/>
              <w:wordWrap/>
              <w:overflowPunct/>
              <w:topLinePunct w:val="0"/>
              <w:autoSpaceDE/>
              <w:autoSpaceDN/>
              <w:bidi w:val="0"/>
              <w:adjustRightInd/>
              <w:snapToGrid/>
              <w:spacing w:line="560" w:lineRule="exact"/>
              <w:ind w:left="0" w:leftChars="0" w:right="0" w:rightChars="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抄送：</w:t>
            </w:r>
            <w:r>
              <w:rPr>
                <w:rFonts w:hint="eastAsia" w:ascii="仿宋_GB2312" w:hAnsi="仿宋_GB2312" w:eastAsia="仿宋_GB2312" w:cs="仿宋_GB2312"/>
                <w:b w:val="0"/>
                <w:bCs w:val="0"/>
                <w:sz w:val="32"/>
                <w:szCs w:val="32"/>
                <w:lang w:eastAsia="zh-CN"/>
              </w:rPr>
              <w:t>清远市生态环境局清城分局</w:t>
            </w:r>
          </w:p>
        </w:tc>
      </w:tr>
      <w:tr>
        <w:tblPrEx>
          <w:tblBorders>
            <w:top w:val="none" w:color="auto" w:sz="0" w:space="0"/>
            <w:left w:val="none" w:color="auto" w:sz="0" w:space="0"/>
            <w:bottom w:val="single" w:color="auto" w:sz="8" w:space="0"/>
            <w:right w:val="none" w:color="auto" w:sz="0" w:space="0"/>
            <w:insideH w:val="single" w:color="auto" w:sz="8" w:space="0"/>
            <w:insideV w:val="none" w:color="auto" w:sz="0" w:space="0"/>
          </w:tblBorders>
          <w:tblLayout w:type="fixed"/>
          <w:tblCellMar>
            <w:top w:w="0" w:type="dxa"/>
            <w:left w:w="108" w:type="dxa"/>
            <w:bottom w:w="0" w:type="dxa"/>
            <w:right w:w="108" w:type="dxa"/>
          </w:tblCellMar>
        </w:tblPrEx>
        <w:trPr>
          <w:trHeight w:val="264" w:hRule="atLeast"/>
        </w:trPr>
        <w:tc>
          <w:tcPr>
            <w:tcW w:w="8958" w:type="dxa"/>
            <w:noWrap w:val="0"/>
            <w:vAlign w:val="top"/>
          </w:tcPr>
          <w:p>
            <w:pPr>
              <w:keepNext w:val="0"/>
              <w:keepLines w:val="0"/>
              <w:pageBreakBefore w:val="0"/>
              <w:widowControl w:val="0"/>
              <w:tabs>
                <w:tab w:val="left" w:pos="5100"/>
              </w:tabs>
              <w:kinsoku/>
              <w:wordWrap/>
              <w:overflowPunct/>
              <w:topLinePunct w:val="0"/>
              <w:autoSpaceDE/>
              <w:autoSpaceDN/>
              <w:bidi w:val="0"/>
              <w:adjustRightInd/>
              <w:snapToGrid w:val="0"/>
              <w:spacing w:line="560" w:lineRule="exact"/>
              <w:ind w:right="0"/>
              <w:jc w:val="both"/>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广东清远高新技术产业开发区行政审批局</w:t>
            </w:r>
            <w:r>
              <w:rPr>
                <w:rFonts w:hint="eastAsia" w:ascii="仿宋_GB2312" w:hAnsi="仿宋_GB2312" w:eastAsia="仿宋_GB2312" w:cs="仿宋_GB2312"/>
                <w:b w:val="0"/>
                <w:bCs w:val="0"/>
                <w:sz w:val="30"/>
                <w:szCs w:val="30"/>
                <w:lang w:val="en-US" w:eastAsia="zh-CN"/>
              </w:rPr>
              <w:t xml:space="preserve"> </w:t>
            </w:r>
            <w:r>
              <w:rPr>
                <w:rFonts w:hint="eastAsia" w:ascii="仿宋_GB2312" w:hAnsi="仿宋_GB2312" w:eastAsia="仿宋_GB2312" w:cs="仿宋_GB2312"/>
                <w:b w:val="0"/>
                <w:bCs w:val="0"/>
                <w:sz w:val="32"/>
                <w:szCs w:val="32"/>
                <w:lang w:val="en-US" w:eastAsia="zh-CN"/>
              </w:rPr>
              <w:t>2019</w:t>
            </w:r>
            <w:r>
              <w:rPr>
                <w:rFonts w:hint="eastAsia" w:ascii="仿宋_GB2312" w:hAnsi="仿宋_GB2312" w:eastAsia="仿宋_GB2312" w:cs="仿宋_GB2312"/>
                <w:b w:val="0"/>
                <w:bCs w:val="0"/>
                <w:sz w:val="32"/>
                <w:szCs w:val="32"/>
                <w:lang w:eastAsia="zh-CN"/>
              </w:rPr>
              <w:t>年</w:t>
            </w:r>
            <w:r>
              <w:rPr>
                <w:rFonts w:hint="eastAsia" w:ascii="仿宋_GB2312" w:hAnsi="仿宋_GB2312" w:eastAsia="仿宋_GB2312" w:cs="仿宋_GB2312"/>
                <w:b w:val="0"/>
                <w:bCs w:val="0"/>
                <w:sz w:val="32"/>
                <w:szCs w:val="32"/>
                <w:lang w:val="en-US" w:eastAsia="zh-CN"/>
              </w:rPr>
              <w:t>8</w:t>
            </w:r>
            <w:r>
              <w:rPr>
                <w:rFonts w:hint="eastAsia" w:ascii="仿宋_GB2312" w:hAnsi="仿宋_GB2312" w:eastAsia="仿宋_GB2312" w:cs="仿宋_GB2312"/>
                <w:b w:val="0"/>
                <w:bCs w:val="0"/>
                <w:sz w:val="32"/>
                <w:szCs w:val="32"/>
                <w:lang w:eastAsia="zh-CN"/>
              </w:rPr>
              <w:t>月</w:t>
            </w:r>
            <w:r>
              <w:rPr>
                <w:rFonts w:hint="eastAsia" w:ascii="仿宋_GB2312" w:hAnsi="仿宋_GB2312" w:eastAsia="仿宋_GB2312" w:cs="仿宋_GB2312"/>
                <w:b w:val="0"/>
                <w:bCs w:val="0"/>
                <w:sz w:val="32"/>
                <w:szCs w:val="32"/>
                <w:lang w:val="en-US" w:eastAsia="zh-CN"/>
              </w:rPr>
              <w:t>7</w:t>
            </w:r>
            <w:r>
              <w:rPr>
                <w:rFonts w:hint="eastAsia" w:ascii="仿宋_GB2312" w:hAnsi="仿宋_GB2312" w:eastAsia="仿宋_GB2312" w:cs="仿宋_GB2312"/>
                <w:b w:val="0"/>
                <w:bCs w:val="0"/>
                <w:sz w:val="32"/>
                <w:szCs w:val="32"/>
                <w:lang w:eastAsia="zh-CN"/>
              </w:rPr>
              <w:t>日印发</w:t>
            </w:r>
          </w:p>
        </w:tc>
      </w:tr>
    </w:tbl>
    <w:p>
      <w:pPr>
        <w:pStyle w:val="3"/>
        <w:keepNext w:val="0"/>
        <w:keepLines w:val="0"/>
        <w:pageBreakBefore w:val="0"/>
        <w:widowControl w:val="0"/>
        <w:kinsoku/>
        <w:wordWrap/>
        <w:overflowPunct/>
        <w:topLinePunct w:val="0"/>
        <w:autoSpaceDE/>
        <w:autoSpaceDN/>
        <w:bidi w:val="0"/>
        <w:adjustRightInd/>
        <w:snapToGrid w:val="0"/>
        <w:spacing w:line="560" w:lineRule="exact"/>
        <w:ind w:left="0" w:leftChars="0"/>
        <w:jc w:val="both"/>
        <w:textAlignment w:val="auto"/>
        <w:outlineLvl w:val="9"/>
        <w:rPr>
          <w:rFonts w:hint="eastAsia" w:ascii="仿宋" w:hAnsi="仿宋" w:eastAsia="仿宋" w:cs="仿宋"/>
          <w:color w:val="auto"/>
          <w:sz w:val="32"/>
          <w:szCs w:val="32"/>
          <w:lang w:val="en-US" w:eastAsia="zh-CN"/>
        </w:rPr>
      </w:pPr>
      <w:r>
        <w:rPr>
          <w:rFonts w:hint="eastAsia" w:ascii="仿宋_GB2312" w:hAnsi="仿宋_GB2312" w:eastAsia="仿宋_GB2312" w:cs="仿宋_GB2312"/>
          <w:color w:val="auto"/>
          <w:spacing w:val="6"/>
          <w:kern w:val="0"/>
          <w:sz w:val="32"/>
          <w:szCs w:val="32"/>
        </w:rPr>
        <w:t xml:space="preserve">                     </w:t>
      </w:r>
      <w:r>
        <w:rPr>
          <w:rFonts w:hint="eastAsia" w:ascii="仿宋_GB2312" w:hAnsi="仿宋_GB2312" w:eastAsia="仿宋_GB2312" w:cs="仿宋_GB2312"/>
          <w:color w:val="auto"/>
          <w:spacing w:val="6"/>
          <w:kern w:val="0"/>
          <w:sz w:val="32"/>
          <w:szCs w:val="32"/>
          <w:lang w:val="en-US" w:eastAsia="zh-CN"/>
        </w:rPr>
        <w:t xml:space="preserve">  </w:t>
      </w:r>
      <w:r>
        <w:rPr>
          <w:rFonts w:hint="eastAsia" w:ascii="仿宋_GB2312" w:hAnsi="仿宋_GB2312" w:eastAsia="仿宋_GB2312" w:cs="仿宋_GB2312"/>
          <w:color w:val="auto"/>
          <w:spacing w:val="6"/>
          <w:kern w:val="0"/>
          <w:sz w:val="32"/>
          <w:szCs w:val="32"/>
          <w:lang w:val="en-US" w:eastAsia="zh-CN" w:bidi="ar-SA"/>
        </w:rPr>
        <w:t>2019年8月7日</w:t>
      </w:r>
    </w:p>
    <w:p>
      <w:pPr>
        <w:keepNext w:val="0"/>
        <w:keepLines w:val="0"/>
        <w:pageBreakBefore w:val="0"/>
        <w:widowControl w:val="0"/>
        <w:kinsoku/>
        <w:wordWrap/>
        <w:overflowPunct/>
        <w:topLinePunct w:val="0"/>
        <w:bidi w:val="0"/>
        <w:spacing w:line="560" w:lineRule="exact"/>
        <w:textAlignment w:val="auto"/>
        <w:rPr>
          <w:rFonts w:hint="eastAsia" w:ascii="仿宋_GB2312" w:hAnsi="仿宋_GB2312" w:eastAsia="仿宋_GB2312" w:cs="仿宋_GB2312"/>
          <w:color w:val="auto"/>
          <w:kern w:val="2"/>
          <w:sz w:val="32"/>
          <w:szCs w:val="32"/>
          <w:lang w:val="en-US" w:eastAsia="zh-CN"/>
        </w:rPr>
      </w:pPr>
    </w:p>
    <w:p>
      <w:pPr>
        <w:pStyle w:val="2"/>
        <w:rPr>
          <w:rFonts w:hint="eastAsia" w:ascii="仿宋_GB2312" w:hAnsi="仿宋_GB2312" w:eastAsia="仿宋_GB2312" w:cs="仿宋_GB2312"/>
          <w:color w:val="auto"/>
          <w:kern w:val="2"/>
          <w:sz w:val="32"/>
          <w:szCs w:val="32"/>
          <w:lang w:val="en-US" w:eastAsia="zh-CN"/>
        </w:rPr>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1</w:t>
                          </w:r>
                          <w:r>
                            <w:rPr>
                              <w:rFonts w:hint="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1</w:t>
                    </w:r>
                    <w:r>
                      <w:rPr>
                        <w:rFonts w:hint="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A3520C"/>
    <w:rsid w:val="13A6673C"/>
    <w:rsid w:val="30A3520C"/>
    <w:rsid w:val="766F7AC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customStyle="1" w:styleId="2">
    <w:name w:val="Defaul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3">
    <w:name w:val="Plain Text"/>
    <w:basedOn w:val="1"/>
    <w:uiPriority w:val="0"/>
    <w:rPr>
      <w:rFonts w:ascii="宋体" w:hAnsi="Courier New" w:eastAsia="宋体"/>
      <w:kern w:val="2"/>
      <w:sz w:val="24"/>
      <w:lang w:val="en-US" w:eastAsia="zh-CN" w:bidi="ar-SA"/>
    </w:r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正文 New New New New New"/>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Office_11.1.0.8952_F1E327BC-269C-435d-A152-05C5408002CA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2019-08-13T07:23:00Z</dcterms:created>
  <dc:creator>zwzx324</dc:creator>
  <cp:lastModifiedBy>zwzx324</cp:lastModifiedBy>
  <cp:lastPrinted>2019-08-13T07:32:00Z</cp:lastPrinted>
  <dcterms:modified xsi:type="dcterms:W3CDTF">2019-08-14T08:15:15Z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2052-11.1.0.8952</vt:lpwstr>
  </property>
</Properties>
</file>