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textAlignment w:val="auto"/>
        <w:rPr>
          <w:rStyle w:val="15"/>
          <w:rFonts w:hint="eastAsia" w:ascii="方正小标宋_GBK" w:hAnsi="方正小标宋_GBK" w:eastAsia="方正小标宋_GBK" w:cs="方正小标宋_GBK"/>
          <w:sz w:val="36"/>
          <w:szCs w:val="36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before="0" w:beforeLines="0" w:after="0" w:afterLines="0" w:line="560" w:lineRule="exact"/>
        <w:textAlignment w:val="auto"/>
        <w:rPr>
          <w:rFonts w:hint="eastAsia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before="0" w:beforeLines="0" w:after="0" w:afterLines="0" w:line="560" w:lineRule="exact"/>
        <w:textAlignment w:val="auto"/>
        <w:rPr>
          <w:rFonts w:hint="eastAsia"/>
        </w:rPr>
      </w:pPr>
    </w:p>
    <w:p>
      <w:pPr>
        <w:keepNext w:val="0"/>
        <w:keepLines w:val="0"/>
        <w:pageBreakBefore w:val="0"/>
        <w:widowControl w:val="0"/>
        <w:tabs>
          <w:tab w:val="left" w:pos="3430"/>
          <w:tab w:val="center" w:pos="4968"/>
        </w:tabs>
        <w:kinsoku/>
        <w:wordWrap/>
        <w:overflowPunct/>
        <w:topLinePunct w:val="0"/>
        <w:autoSpaceDE/>
        <w:autoSpaceDN/>
        <w:bidi w:val="0"/>
        <w:spacing w:line="560" w:lineRule="exact"/>
        <w:jc w:val="center"/>
        <w:textAlignment w:val="auto"/>
        <w:rPr>
          <w:rFonts w:hint="eastAsia" w:ascii="仿宋" w:hAnsi="仿宋" w:eastAsia="仿宋" w:cs="仿宋"/>
          <w:spacing w:val="6"/>
          <w:sz w:val="36"/>
          <w:szCs w:val="36"/>
        </w:rPr>
      </w:pPr>
    </w:p>
    <w:p>
      <w:pPr>
        <w:keepNext w:val="0"/>
        <w:keepLines w:val="0"/>
        <w:pageBreakBefore w:val="0"/>
        <w:widowControl w:val="0"/>
        <w:tabs>
          <w:tab w:val="left" w:pos="3430"/>
          <w:tab w:val="center" w:pos="4968"/>
        </w:tabs>
        <w:kinsoku/>
        <w:wordWrap/>
        <w:overflowPunct/>
        <w:topLinePunct w:val="0"/>
        <w:autoSpaceDE/>
        <w:autoSpaceDN/>
        <w:bidi w:val="0"/>
        <w:spacing w:line="560" w:lineRule="exact"/>
        <w:jc w:val="center"/>
        <w:textAlignment w:val="auto"/>
        <w:rPr>
          <w:rFonts w:hint="eastAsia" w:ascii="仿宋" w:hAnsi="仿宋" w:eastAsia="仿宋" w:cs="仿宋"/>
          <w:spacing w:val="6"/>
          <w:sz w:val="36"/>
          <w:szCs w:val="36"/>
        </w:rPr>
      </w:pPr>
    </w:p>
    <w:p>
      <w:pPr>
        <w:keepNext w:val="0"/>
        <w:keepLines w:val="0"/>
        <w:pageBreakBefore w:val="0"/>
        <w:widowControl w:val="0"/>
        <w:tabs>
          <w:tab w:val="left" w:pos="3430"/>
          <w:tab w:val="center" w:pos="4968"/>
        </w:tabs>
        <w:kinsoku/>
        <w:wordWrap/>
        <w:overflowPunct/>
        <w:topLinePunct w:val="0"/>
        <w:autoSpaceDE/>
        <w:autoSpaceDN/>
        <w:bidi w:val="0"/>
        <w:spacing w:line="560" w:lineRule="exact"/>
        <w:jc w:val="both"/>
        <w:textAlignment w:val="auto"/>
        <w:rPr>
          <w:rFonts w:hint="eastAsia" w:ascii="仿宋" w:hAnsi="仿宋" w:eastAsia="仿宋" w:cs="仿宋"/>
          <w:spacing w:val="6"/>
          <w:sz w:val="36"/>
          <w:szCs w:val="36"/>
        </w:rPr>
      </w:pPr>
    </w:p>
    <w:p>
      <w:pPr>
        <w:keepNext w:val="0"/>
        <w:keepLines w:val="0"/>
        <w:pageBreakBefore w:val="0"/>
        <w:widowControl w:val="0"/>
        <w:tabs>
          <w:tab w:val="left" w:pos="3430"/>
          <w:tab w:val="center" w:pos="4968"/>
        </w:tabs>
        <w:kinsoku/>
        <w:wordWrap/>
        <w:overflowPunct/>
        <w:topLinePunct w:val="0"/>
        <w:autoSpaceDE/>
        <w:autoSpaceDN/>
        <w:bidi w:val="0"/>
        <w:spacing w:line="560" w:lineRule="exact"/>
        <w:jc w:val="center"/>
        <w:textAlignment w:val="auto"/>
        <w:rPr>
          <w:rFonts w:hint="eastAsia" w:ascii="仿宋" w:hAnsi="仿宋" w:eastAsia="仿宋" w:cs="仿宋"/>
          <w:spacing w:val="6"/>
          <w:sz w:val="36"/>
          <w:szCs w:val="36"/>
          <w:lang w:val="en-US" w:eastAsia="zh-CN"/>
        </w:rPr>
      </w:pPr>
      <w:r>
        <w:rPr>
          <w:rFonts w:hint="eastAsia" w:ascii="仿宋" w:hAnsi="仿宋" w:eastAsia="仿宋" w:cs="仿宋"/>
          <w:spacing w:val="6"/>
          <w:sz w:val="36"/>
          <w:szCs w:val="36"/>
        </w:rPr>
        <w:t>清高审批环〔201</w:t>
      </w:r>
      <w:r>
        <w:rPr>
          <w:rFonts w:hint="eastAsia" w:ascii="仿宋" w:hAnsi="仿宋" w:eastAsia="仿宋" w:cs="仿宋"/>
          <w:spacing w:val="6"/>
          <w:sz w:val="36"/>
          <w:szCs w:val="36"/>
          <w:lang w:val="en-US" w:eastAsia="zh-CN"/>
        </w:rPr>
        <w:t>9</w:t>
      </w:r>
      <w:r>
        <w:rPr>
          <w:rFonts w:hint="eastAsia" w:ascii="仿宋" w:hAnsi="仿宋" w:eastAsia="仿宋" w:cs="仿宋"/>
          <w:spacing w:val="6"/>
          <w:sz w:val="36"/>
          <w:szCs w:val="36"/>
        </w:rPr>
        <w:t>〕</w:t>
      </w:r>
      <w:r>
        <w:rPr>
          <w:rFonts w:hint="eastAsia" w:ascii="仿宋" w:hAnsi="仿宋" w:eastAsia="仿宋" w:cs="仿宋"/>
          <w:spacing w:val="6"/>
          <w:sz w:val="36"/>
          <w:szCs w:val="36"/>
          <w:lang w:val="en-US" w:eastAsia="zh-CN"/>
        </w:rPr>
        <w:t>4</w:t>
      </w:r>
      <w:r>
        <w:rPr>
          <w:rFonts w:hint="eastAsia" w:ascii="仿宋" w:hAnsi="仿宋" w:eastAsia="仿宋" w:cs="仿宋"/>
          <w:color w:val="auto"/>
          <w:spacing w:val="6"/>
          <w:sz w:val="36"/>
          <w:szCs w:val="36"/>
        </w:rPr>
        <w:t>号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textAlignment w:val="auto"/>
        <w:rPr>
          <w:rStyle w:val="15"/>
          <w:rFonts w:hint="eastAsia" w:ascii="方正小标宋_GBK" w:hAnsi="方正小标宋_GBK" w:eastAsia="方正小标宋_GBK" w:cs="方正小标宋_GBK"/>
          <w:sz w:val="36"/>
          <w:szCs w:val="36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Style w:val="15"/>
          <w:rFonts w:hint="eastAsia" w:ascii="方正小标宋_GBK" w:hAnsi="方正小标宋_GBK" w:eastAsia="方正小标宋_GBK" w:cs="方正小标宋_GBK"/>
          <w:sz w:val="44"/>
          <w:szCs w:val="44"/>
        </w:rPr>
      </w:pPr>
      <w:r>
        <w:rPr>
          <w:rStyle w:val="15"/>
          <w:rFonts w:hint="eastAsia" w:ascii="方正小标宋_GBK" w:hAnsi="方正小标宋_GBK" w:eastAsia="方正小标宋_GBK" w:cs="方正小标宋_GBK"/>
          <w:sz w:val="44"/>
          <w:szCs w:val="44"/>
        </w:rPr>
        <w:t>关于《</w:t>
      </w:r>
      <w:r>
        <w:rPr>
          <w:rFonts w:hint="eastAsia" w:ascii="方正小标宋_GBK" w:hAnsi="方正小标宋_GBK" w:eastAsia="方正小标宋_GBK" w:cs="方正小标宋_GBK"/>
          <w:b/>
          <w:bCs/>
          <w:sz w:val="44"/>
          <w:szCs w:val="44"/>
        </w:rPr>
        <w:t>清远市</w:t>
      </w:r>
      <w:r>
        <w:rPr>
          <w:rStyle w:val="15"/>
          <w:rFonts w:hint="eastAsia" w:ascii="方正小标宋_GBK" w:hAnsi="方正小标宋_GBK" w:eastAsia="方正小标宋_GBK" w:cs="方正小标宋_GBK"/>
          <w:sz w:val="44"/>
          <w:szCs w:val="44"/>
        </w:rPr>
        <w:t>华南铜铝业有限公司改扩建项目环境影响报告书》的批复</w:t>
      </w:r>
    </w:p>
    <w:p>
      <w:pPr>
        <w:pStyle w:val="16"/>
        <w:rPr>
          <w:rStyle w:val="15"/>
          <w:rFonts w:hint="eastAsia" w:ascii="方正小标宋_GBK" w:hAnsi="方正小标宋_GBK" w:eastAsia="方正小标宋_GBK" w:cs="方正小标宋_GBK"/>
          <w:sz w:val="36"/>
          <w:szCs w:val="36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pacing w:line="600" w:lineRule="exact"/>
        <w:ind w:right="0" w:firstLine="0" w:firstLineChars="0"/>
        <w:jc w:val="left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清远市华南铜铝业有限公司：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pacing w:line="600" w:lineRule="exact"/>
        <w:ind w:right="0" w:firstLine="560"/>
        <w:jc w:val="left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你公司报批的《清远市华南铜铝业有限公司改扩建项目环境影响报告书》（以下简称“报告书“）及有关材料收悉。经研究，批复如下：</w:t>
      </w:r>
    </w:p>
    <w:p>
      <w:pPr>
        <w:spacing w:line="360" w:lineRule="auto"/>
        <w:ind w:firstLine="640" w:firstLineChars="200"/>
        <w:rPr>
          <w:rFonts w:hint="eastAsia"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一、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清远市华南铜铝业有限公司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eastAsia="zh-CN"/>
        </w:rPr>
        <w:t>位于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清远高新技术产业开发区生态工业园内，清远市银盏高速公路收费站西面500m处，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eastAsia="zh-CN"/>
        </w:rPr>
        <w:t>原有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年产铝合金型材15600吨、铝板8400吨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eastAsia="zh-CN"/>
        </w:rPr>
        <w:t>建设项目。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该项目的环评文件于2005年1月11日取得清远市环境保护局的批复（清环[2005]13号）,2007年7月16日，清远市环境保护局对该项目进行了竣工环境保护验收（清环验[2007]84号）。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600" w:lineRule="exact"/>
        <w:ind w:right="0" w:firstLine="56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清远市华南铜铝业有限公司</w:t>
      </w:r>
      <w:r>
        <w:rPr>
          <w:rFonts w:hint="eastAsia" w:ascii="仿宋_GB2312" w:hAnsi="仿宋_GB2312" w:eastAsia="仿宋_GB2312" w:cs="仿宋_GB2312"/>
          <w:sz w:val="32"/>
          <w:szCs w:val="32"/>
        </w:rPr>
        <w:t>于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200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>7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>8月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开始陆续</w:t>
      </w:r>
      <w:r>
        <w:rPr>
          <w:rFonts w:hint="eastAsia" w:ascii="仿宋_GB2312" w:hAnsi="仿宋_GB2312" w:eastAsia="仿宋_GB2312" w:cs="仿宋_GB2312"/>
          <w:sz w:val="32"/>
          <w:szCs w:val="32"/>
        </w:rPr>
        <w:t>在原有厂房内对部分生产设备、生产工艺及污染防治措施等进行了升级改造，并扩建了部分厂房及生产线；产能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由原有项目的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年产15600吨铝合金型材、8400吨铝合金板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eastAsia="zh-CN"/>
        </w:rPr>
        <w:t>材</w:t>
      </w:r>
      <w:r>
        <w:rPr>
          <w:rFonts w:hint="eastAsia" w:ascii="仿宋_GB2312" w:hAnsi="仿宋_GB2312" w:eastAsia="仿宋_GB2312" w:cs="仿宋_GB2312"/>
          <w:sz w:val="32"/>
          <w:szCs w:val="32"/>
        </w:rPr>
        <w:t>提高至年产103000吨铝合金型材、50000吨铝合金板材、200000m</w:t>
      </w:r>
      <w:r>
        <w:rPr>
          <w:rFonts w:hint="eastAsia" w:ascii="仿宋_GB2312" w:hAnsi="仿宋_GB2312" w:eastAsia="仿宋_GB2312" w:cs="仿宋_GB2312"/>
          <w:sz w:val="32"/>
          <w:szCs w:val="32"/>
          <w:vertAlign w:val="superscript"/>
        </w:rPr>
        <w:t>2</w:t>
      </w:r>
      <w:r>
        <w:rPr>
          <w:rFonts w:hint="eastAsia" w:ascii="仿宋_GB2312" w:hAnsi="仿宋_GB2312" w:eastAsia="仿宋_GB2312" w:cs="仿宋_GB2312"/>
          <w:sz w:val="32"/>
          <w:szCs w:val="32"/>
        </w:rPr>
        <w:t>铝合金门窗，并于2017年10月完成建设。</w:t>
      </w:r>
    </w:p>
    <w:p>
      <w:pPr>
        <w:spacing w:line="360" w:lineRule="auto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项目改扩建内容未办理</w:t>
      </w:r>
      <w:r>
        <w:rPr>
          <w:rFonts w:hint="eastAsia" w:ascii="仿宋_GB2312" w:hAnsi="仿宋_GB2312" w:eastAsia="仿宋_GB2312" w:cs="仿宋_GB2312"/>
          <w:sz w:val="32"/>
          <w:szCs w:val="32"/>
        </w:rPr>
        <w:t>环评审批及“三同时”验收等手续，属于“未批先建”及“未验先投”项目。清远市环境保护局于2017年11月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对该公司作出了行政处罚（</w:t>
      </w:r>
      <w:r>
        <w:rPr>
          <w:rFonts w:hint="eastAsia" w:ascii="仿宋_GB2312" w:hAnsi="仿宋_GB2312" w:eastAsia="仿宋_GB2312" w:cs="仿宋_GB2312"/>
          <w:sz w:val="32"/>
          <w:szCs w:val="32"/>
        </w:rPr>
        <w:t>清环罚字[2017]14号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</w:rPr>
        <w:t>并责令停产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  <w:r>
        <w:rPr>
          <w:rFonts w:hint="eastAsia" w:ascii="仿宋_GB2312" w:hAnsi="仿宋_GB2312" w:eastAsia="仿宋_GB2312" w:cs="仿宋_GB2312"/>
          <w:sz w:val="32"/>
          <w:szCs w:val="32"/>
        </w:rPr>
        <w:t>受到行政处罚后，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eastAsia="zh-CN"/>
        </w:rPr>
        <w:t>该公司</w:t>
      </w:r>
      <w:r>
        <w:rPr>
          <w:rFonts w:hint="eastAsia" w:ascii="仿宋_GB2312" w:hAnsi="仿宋_GB2312" w:eastAsia="仿宋_GB2312" w:cs="仿宋_GB2312"/>
          <w:sz w:val="32"/>
          <w:szCs w:val="32"/>
        </w:rPr>
        <w:t>停止了相关未批先建生产线的运作，并于2017年11月30日按时缴纳了行政处罚罚款。建设单位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现</w:t>
      </w:r>
      <w:r>
        <w:rPr>
          <w:rFonts w:hint="eastAsia" w:ascii="仿宋_GB2312" w:hAnsi="仿宋_GB2312" w:eastAsia="仿宋_GB2312" w:cs="仿宋_GB2312"/>
          <w:sz w:val="32"/>
          <w:szCs w:val="32"/>
        </w:rPr>
        <w:t>根据《关于加强“未批先建”建设项目环境影响评价管理工作的通知》（环办环评[2018] 18号）文件要求，委托湖南绿鸿环境科技有限责任公司编制项目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环评文件报批。</w:t>
      </w:r>
      <w:r>
        <w:rPr>
          <w:rFonts w:hint="eastAsia" w:ascii="仿宋_GB2312" w:hAnsi="仿宋_GB2312" w:eastAsia="仿宋_GB2312" w:cs="仿宋_GB2312"/>
          <w:sz w:val="32"/>
          <w:szCs w:val="32"/>
        </w:rPr>
        <w:t>同时拟决定拆除氧化二车间生产线（不拆除车间建筑物），减少铝合金型材产品中的氧化电泳型材产能，相应增加工业普通型材产能，调整后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全厂的产品及产能为年产102995t铝合金型材、50000t铝合金板材、200000m</w:t>
      </w:r>
      <w:r>
        <w:rPr>
          <w:rFonts w:hint="eastAsia" w:ascii="仿宋_GB2312" w:hAnsi="仿宋_GB2312" w:eastAsia="仿宋_GB2312" w:cs="仿宋_GB2312"/>
          <w:bCs/>
          <w:sz w:val="32"/>
          <w:szCs w:val="32"/>
          <w:vertAlign w:val="superscript"/>
        </w:rPr>
        <w:t>2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铝合金门窗</w:t>
      </w:r>
      <w:r>
        <w:rPr>
          <w:rFonts w:hint="eastAsia" w:ascii="仿宋_GB2312" w:hAnsi="仿宋_GB2312" w:eastAsia="仿宋_GB2312" w:cs="仿宋_GB2312"/>
          <w:sz w:val="32"/>
          <w:szCs w:val="32"/>
        </w:rPr>
        <w:t>；同时增加厂区的回用水处理设施，减少废水排放量。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600" w:lineRule="exact"/>
        <w:ind w:right="0" w:firstLine="560"/>
        <w:textAlignment w:val="auto"/>
        <w:rPr>
          <w:rFonts w:hint="eastAsia" w:ascii="仿宋_GB2312" w:hAnsi="仿宋_GB2312" w:eastAsia="仿宋_GB2312" w:cs="仿宋_GB2312"/>
          <w:color w:val="FF000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二、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专家组对报告书的技术评审意见认为，报告书内容较全面，确定的评价工作等级、评价范围和评价标准合适，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环境现状调查基本符合实际，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采用的环评的技术路线和方法符合环评技术导则的要求，提出的环保措施基本可行，评价结论基本可信。</w:t>
      </w:r>
    </w:p>
    <w:tbl>
      <w:tblPr>
        <w:tblStyle w:val="13"/>
        <w:tblpPr w:leftFromText="180" w:rightFromText="180" w:vertAnchor="text" w:horzAnchor="page" w:tblpX="1645" w:tblpY="10972"/>
        <w:tblOverlap w:val="never"/>
        <w:tblW w:w="8958" w:type="dxa"/>
        <w:tblInd w:w="0" w:type="dxa"/>
        <w:tblBorders>
          <w:top w:val="none" w:color="auto" w:sz="0" w:space="0"/>
          <w:left w:val="none" w:color="auto" w:sz="0" w:space="0"/>
          <w:bottom w:val="single" w:color="auto" w:sz="8" w:space="0"/>
          <w:right w:val="none" w:color="auto" w:sz="0" w:space="0"/>
          <w:insideH w:val="single" w:color="auto" w:sz="8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58"/>
      </w:tblGrid>
      <w:tr>
        <w:tblPrEx>
          <w:tblBorders>
            <w:top w:val="none" w:color="auto" w:sz="0" w:space="0"/>
            <w:left w:val="none" w:color="auto" w:sz="0" w:space="0"/>
            <w:bottom w:val="single" w:color="auto" w:sz="8" w:space="0"/>
            <w:right w:val="none" w:color="auto" w:sz="0" w:space="0"/>
            <w:insideH w:val="single" w:color="auto" w:sz="8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958" w:type="dxa"/>
            <w:noWrap w:val="0"/>
            <w:vAlign w:val="top"/>
          </w:tcPr>
          <w:p>
            <w:pPr>
              <w:pStyle w:val="17"/>
              <w:widowControl/>
              <w:spacing w:line="520" w:lineRule="exact"/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8" w:space="0"/>
            <w:right w:val="none" w:color="auto" w:sz="0" w:space="0"/>
            <w:insideH w:val="single" w:color="auto" w:sz="8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8958" w:type="dxa"/>
            <w:noWrap w:val="0"/>
            <w:vAlign w:val="top"/>
          </w:tcPr>
          <w:p>
            <w:pPr>
              <w:pStyle w:val="17"/>
              <w:spacing w:line="520" w:lineRule="exact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</w:rPr>
              <w:t>抄送：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eastAsia="zh-CN"/>
              </w:rPr>
              <w:t>清远市生态环境局、清远市生态环境局清城分局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8" w:space="0"/>
            <w:right w:val="none" w:color="auto" w:sz="0" w:space="0"/>
            <w:insideH w:val="single" w:color="auto" w:sz="8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8958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广东清远高新技术产业开发区行政审批局 2019年8月1日印发</w:t>
            </w:r>
          </w:p>
        </w:tc>
      </w:tr>
    </w:tbl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pacing w:line="600" w:lineRule="exact"/>
        <w:ind w:right="0" w:firstLine="560"/>
        <w:jc w:val="left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三、我局原则同意专家组对报告书的技术评审意见，在你公司全面落实报告书提出的各项污染防治措施的前提下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项目建设从环境保护角度可行。你公司应按照报告书内容组织实施。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pacing w:line="600" w:lineRule="exact"/>
        <w:ind w:right="0" w:firstLine="560"/>
        <w:jc w:val="left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四、建设项目的环境影响评价文件经批准后，建设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项目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的性质、规模、地点、采用的生产工艺或者防治污染、防止生态破坏的措施发生重大变动的，建设单位应当重新报批建设项目的环境影响评价文件。</w:t>
      </w:r>
      <w:bookmarkStart w:id="0" w:name="_GoBack"/>
      <w:bookmarkEnd w:id="0"/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pacing w:line="600" w:lineRule="exact"/>
        <w:ind w:right="0" w:firstLine="560"/>
        <w:jc w:val="left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五、项目须按规定及时开展项目环境保护设施竣工验收。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pacing w:line="600" w:lineRule="exact"/>
        <w:ind w:right="0"/>
        <w:jc w:val="left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tabs>
          <w:tab w:val="left" w:pos="510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right="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</w:pPr>
    </w:p>
    <w:p>
      <w:pPr>
        <w:pStyle w:val="8"/>
        <w:rPr>
          <w:rFonts w:hint="eastAsia"/>
          <w:lang w:eastAsia="zh-CN"/>
        </w:rPr>
      </w:pPr>
    </w:p>
    <w:p>
      <w:pPr>
        <w:keepNext w:val="0"/>
        <w:keepLines w:val="0"/>
        <w:pageBreakBefore w:val="0"/>
        <w:widowControl w:val="0"/>
        <w:tabs>
          <w:tab w:val="left" w:pos="510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right="0" w:firstLine="2240" w:firstLineChars="700"/>
        <w:jc w:val="both"/>
        <w:textAlignment w:val="auto"/>
        <w:outlineLvl w:val="9"/>
        <w:rPr>
          <w:rFonts w:hint="eastAsia" w:ascii="仿宋_GB2312" w:hAnsi="仿宋_GB2312" w:eastAsia="仿宋_GB2312" w:cs="仿宋_GB2312"/>
          <w:spacing w:val="6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广东清远高新技术产业开发区行政审批局</w:t>
      </w:r>
    </w:p>
    <w:p>
      <w:pPr>
        <w:keepNext w:val="0"/>
        <w:keepLines w:val="0"/>
        <w:pageBreakBefore w:val="0"/>
        <w:widowControl w:val="0"/>
        <w:tabs>
          <w:tab w:val="left" w:pos="510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left="0" w:leftChars="0" w:right="0" w:firstLine="4648" w:firstLineChars="1400"/>
        <w:jc w:val="both"/>
        <w:textAlignment w:val="auto"/>
        <w:outlineLvl w:val="9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pacing w:val="6"/>
          <w:sz w:val="32"/>
          <w:szCs w:val="32"/>
        </w:rPr>
        <w:t>201</w:t>
      </w:r>
      <w:r>
        <w:rPr>
          <w:rFonts w:hint="eastAsia" w:ascii="仿宋_GB2312" w:hAnsi="仿宋_GB2312" w:eastAsia="仿宋_GB2312" w:cs="仿宋_GB2312"/>
          <w:spacing w:val="6"/>
          <w:sz w:val="32"/>
          <w:szCs w:val="32"/>
          <w:lang w:val="en-US" w:eastAsia="zh-CN"/>
        </w:rPr>
        <w:t>9</w:t>
      </w:r>
      <w:r>
        <w:rPr>
          <w:rFonts w:hint="eastAsia" w:ascii="仿宋_GB2312" w:hAnsi="仿宋_GB2312" w:eastAsia="仿宋_GB2312" w:cs="仿宋_GB2312"/>
          <w:spacing w:val="6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pacing w:val="6"/>
          <w:sz w:val="32"/>
          <w:szCs w:val="32"/>
          <w:lang w:val="en-US" w:eastAsia="zh-CN"/>
        </w:rPr>
        <w:t>8</w:t>
      </w:r>
      <w:r>
        <w:rPr>
          <w:rFonts w:hint="eastAsia" w:ascii="仿宋_GB2312" w:hAnsi="仿宋_GB2312" w:eastAsia="仿宋_GB2312" w:cs="仿宋_GB2312"/>
          <w:spacing w:val="6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spacing w:val="6"/>
          <w:sz w:val="32"/>
          <w:szCs w:val="32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spacing w:val="6"/>
          <w:sz w:val="32"/>
          <w:szCs w:val="32"/>
        </w:rPr>
        <w:t>日</w:t>
      </w:r>
    </w:p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00" w:lineRule="exact"/>
        <w:ind w:left="0" w:leftChars="0"/>
        <w:jc w:val="both"/>
        <w:textAlignment w:val="auto"/>
        <w:outlineLvl w:val="9"/>
        <w:rPr>
          <w:rFonts w:hint="default" w:ascii="仿宋" w:hAnsi="仿宋" w:eastAsia="仿宋" w:cs="仿宋"/>
          <w:spacing w:val="6"/>
          <w:kern w:val="0"/>
          <w:sz w:val="32"/>
          <w:szCs w:val="30"/>
        </w:rPr>
      </w:pPr>
    </w:p>
    <w:p>
      <w:pPr>
        <w:pStyle w:val="16"/>
        <w:rPr>
          <w:rStyle w:val="15"/>
          <w:rFonts w:hint="eastAsia" w:ascii="方正小标宋_GBK" w:hAnsi="方正小标宋_GBK" w:eastAsia="方正小标宋_GBK" w:cs="方正小标宋_GBK"/>
          <w:sz w:val="36"/>
          <w:szCs w:val="36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1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11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right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1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sz w:val="28"/>
                        <w:szCs w:val="28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sz w:val="28"/>
                        <w:szCs w:val="2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9E36783"/>
    <w:rsid w:val="09E36783"/>
    <w:rsid w:val="12291521"/>
    <w:rsid w:val="5C911BA3"/>
    <w:rsid w:val="7F0B675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/>
    </w:rPr>
  </w:style>
  <w:style w:type="paragraph" w:styleId="9">
    <w:name w:val="heading 2"/>
    <w:basedOn w:val="1"/>
    <w:next w:val="1"/>
    <w:link w:val="15"/>
    <w:unhideWhenUsed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character" w:default="1" w:styleId="14">
    <w:name w:val="Default Paragraph Font"/>
    <w:semiHidden/>
    <w:qFormat/>
    <w:uiPriority w:val="0"/>
  </w:style>
  <w:style w:type="table" w:default="1" w:styleId="1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我的表格"/>
    <w:basedOn w:val="3"/>
    <w:next w:val="8"/>
    <w:qFormat/>
    <w:uiPriority w:val="0"/>
    <w:pPr>
      <w:keepNext w:val="0"/>
      <w:keepLines w:val="0"/>
      <w:tabs>
        <w:tab w:val="left" w:pos="0"/>
        <w:tab w:val="left" w:pos="360"/>
        <w:tab w:val="left" w:pos="540"/>
        <w:tab w:val="left" w:pos="567"/>
        <w:tab w:val="left" w:pos="720"/>
        <w:tab w:val="left" w:pos="992"/>
      </w:tabs>
      <w:adjustRightInd w:val="0"/>
      <w:snapToGrid w:val="0"/>
      <w:spacing w:line="240" w:lineRule="auto"/>
      <w:ind w:left="0" w:firstLine="0"/>
      <w:jc w:val="center"/>
      <w:outlineLvl w:val="9"/>
    </w:pPr>
    <w:rPr>
      <w:rFonts w:ascii="宋体" w:hAnsi="宋体" w:eastAsia="宋体" w:cs="宋体"/>
      <w:bCs/>
      <w:kern w:val="2"/>
      <w:sz w:val="21"/>
      <w:szCs w:val="21"/>
    </w:rPr>
  </w:style>
  <w:style w:type="paragraph" w:customStyle="1" w:styleId="3">
    <w:name w:val="样式35"/>
    <w:basedOn w:val="4"/>
    <w:qFormat/>
    <w:uiPriority w:val="0"/>
    <w:pPr>
      <w:tabs>
        <w:tab w:val="left" w:pos="0"/>
        <w:tab w:val="left" w:pos="360"/>
        <w:tab w:val="left" w:pos="540"/>
        <w:tab w:val="left" w:pos="567"/>
        <w:tab w:val="left" w:pos="720"/>
      </w:tabs>
      <w:adjustRightInd w:val="0"/>
      <w:snapToGrid w:val="0"/>
      <w:spacing w:line="360" w:lineRule="auto"/>
      <w:ind w:firstLine="1995" w:firstLineChars="950"/>
      <w:jc w:val="both"/>
    </w:pPr>
    <w:rPr>
      <w:rFonts w:ascii="黑体" w:eastAsia="黑体"/>
      <w:b w:val="0"/>
      <w:sz w:val="21"/>
      <w:szCs w:val="21"/>
    </w:rPr>
  </w:style>
  <w:style w:type="paragraph" w:customStyle="1" w:styleId="4">
    <w:name w:val="样式26"/>
    <w:basedOn w:val="5"/>
    <w:qFormat/>
    <w:uiPriority w:val="0"/>
    <w:pPr>
      <w:tabs>
        <w:tab w:val="left" w:pos="0"/>
        <w:tab w:val="left" w:pos="360"/>
        <w:tab w:val="left" w:pos="540"/>
        <w:tab w:val="left" w:pos="567"/>
        <w:tab w:val="left" w:pos="720"/>
      </w:tabs>
    </w:pPr>
  </w:style>
  <w:style w:type="paragraph" w:customStyle="1" w:styleId="5">
    <w:name w:val="样式21"/>
    <w:basedOn w:val="6"/>
    <w:qFormat/>
    <w:uiPriority w:val="0"/>
    <w:pPr>
      <w:keepNext/>
      <w:keepLines/>
      <w:tabs>
        <w:tab w:val="left" w:pos="360"/>
        <w:tab w:val="left" w:pos="540"/>
        <w:tab w:val="left" w:pos="567"/>
        <w:tab w:val="left" w:pos="720"/>
      </w:tabs>
      <w:spacing w:before="120" w:beforeLines="50" w:after="120" w:afterLines="50" w:line="360" w:lineRule="auto"/>
      <w:ind w:left="720" w:hanging="720"/>
      <w:outlineLvl w:val="2"/>
    </w:pPr>
    <w:rPr>
      <w:rFonts w:eastAsia="黑体"/>
      <w:kern w:val="0"/>
      <w:sz w:val="24"/>
      <w:szCs w:val="32"/>
    </w:rPr>
  </w:style>
  <w:style w:type="paragraph" w:customStyle="1" w:styleId="6">
    <w:name w:val="样式5"/>
    <w:basedOn w:val="7"/>
    <w:qFormat/>
    <w:uiPriority w:val="0"/>
    <w:pPr>
      <w:tabs>
        <w:tab w:val="left" w:pos="360"/>
        <w:tab w:val="left" w:pos="567"/>
      </w:tabs>
      <w:spacing w:before="156" w:beforeLines="50" w:after="156" w:afterLines="50" w:line="360" w:lineRule="auto"/>
      <w:outlineLvl w:val="9"/>
    </w:pPr>
    <w:rPr>
      <w:rFonts w:ascii="Times New Roman" w:hAnsi="Times New Roman"/>
      <w:b/>
      <w:sz w:val="28"/>
    </w:rPr>
  </w:style>
  <w:style w:type="paragraph" w:customStyle="1" w:styleId="7">
    <w:name w:val="样式12"/>
    <w:basedOn w:val="1"/>
    <w:qFormat/>
    <w:uiPriority w:val="0"/>
    <w:pPr>
      <w:keepNext/>
      <w:keepLines/>
      <w:tabs>
        <w:tab w:val="left" w:pos="360"/>
        <w:tab w:val="left" w:pos="567"/>
      </w:tabs>
      <w:spacing w:before="156" w:beforeLines="50" w:after="156" w:afterLines="50" w:line="360" w:lineRule="auto"/>
      <w:ind w:left="567" w:hanging="992"/>
      <w:outlineLvl w:val="1"/>
    </w:pPr>
    <w:rPr>
      <w:rFonts w:eastAsia="黑体"/>
      <w:sz w:val="28"/>
      <w:szCs w:val="28"/>
    </w:rPr>
  </w:style>
  <w:style w:type="paragraph" w:customStyle="1" w:styleId="8">
    <w:name w:val="正文1"/>
    <w:basedOn w:val="1"/>
    <w:qFormat/>
    <w:uiPriority w:val="0"/>
    <w:rPr>
      <w:rFonts w:eastAsia="宋体"/>
    </w:rPr>
  </w:style>
  <w:style w:type="paragraph" w:styleId="10">
    <w:name w:val="Plain Text"/>
    <w:basedOn w:val="1"/>
    <w:qFormat/>
    <w:uiPriority w:val="0"/>
    <w:rPr>
      <w:rFonts w:hint="eastAsia" w:ascii="宋体" w:hAnsi="Courier New"/>
      <w:sz w:val="28"/>
      <w:szCs w:val="20"/>
    </w:rPr>
  </w:style>
  <w:style w:type="paragraph" w:styleId="11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12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customStyle="1" w:styleId="15">
    <w:name w:val="标题 2 字符"/>
    <w:basedOn w:val="14"/>
    <w:link w:val="9"/>
    <w:qFormat/>
    <w:uiPriority w:val="9"/>
    <w:rPr>
      <w:rFonts w:ascii="Arial" w:hAnsi="Arial" w:eastAsia="黑体"/>
      <w:b/>
      <w:bCs/>
      <w:sz w:val="32"/>
      <w:szCs w:val="32"/>
    </w:rPr>
  </w:style>
  <w:style w:type="paragraph" w:customStyle="1" w:styleId="16">
    <w:name w:val="Default"/>
    <w:qFormat/>
    <w:uiPriority w:val="0"/>
    <w:pPr>
      <w:widowControl w:val="0"/>
      <w:autoSpaceDE w:val="0"/>
      <w:autoSpaceDN w:val="0"/>
      <w:adjustRightInd w:val="0"/>
    </w:pPr>
    <w:rPr>
      <w:rFonts w:ascii="宋体" w:hAnsi="Times New Roman" w:eastAsia="宋体" w:cs="宋体"/>
      <w:color w:val="000000"/>
      <w:sz w:val="24"/>
      <w:szCs w:val="24"/>
      <w:lang w:val="en-US" w:eastAsia="zh-CN" w:bidi="ar-SA"/>
    </w:rPr>
  </w:style>
  <w:style w:type="paragraph" w:customStyle="1" w:styleId="17">
    <w:name w:val="正文 New New New New New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133</TotalTime>
  <ScaleCrop>false</ScaleCrop>
  <LinksUpToDate>false</LinksUpToDate>
  <CharactersWithSpaces>0</CharactersWithSpaces>
  <Application>WPS Office_11.1.0.8952_F1E327BC-269C-435d-A152-05C5408002CA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2019-08-13T02:19:00Z</dcterms:created>
  <dc:creator>zwzx324</dc:creator>
  <cp:lastModifiedBy>zwzx324</cp:lastModifiedBy>
  <cp:lastPrinted>2019-08-15T02:39:41Z</cp:lastPrinted>
  <dcterms:modified xsi:type="dcterms:W3CDTF">2019-08-15T04:48:16Z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2052-11.1.0.8952</vt:lpwstr>
  </property>
</Properties>
</file>